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B1E" w:rsidRPr="00B07D27" w:rsidRDefault="000A5B1E" w:rsidP="000A5B1E">
      <w:pPr>
        <w:jc w:val="center"/>
        <w:rPr>
          <w:b/>
          <w:i/>
          <w:color w:val="000000"/>
          <w:spacing w:val="-4"/>
          <w:sz w:val="16"/>
          <w:szCs w:val="16"/>
        </w:rPr>
      </w:pPr>
      <w:bookmarkStart w:id="0" w:name="_GoBack"/>
      <w:bookmarkEnd w:id="0"/>
      <w:r w:rsidRPr="00B07D27">
        <w:rPr>
          <w:b/>
          <w:i/>
          <w:color w:val="000000"/>
          <w:spacing w:val="-4"/>
          <w:sz w:val="16"/>
          <w:szCs w:val="16"/>
        </w:rPr>
        <w:t xml:space="preserve">ДО УВАГИ АКЦІОНЕРІВ </w:t>
      </w:r>
    </w:p>
    <w:p w:rsidR="000A5B1E" w:rsidRPr="00B07D27" w:rsidRDefault="000A5B1E" w:rsidP="000A5B1E">
      <w:pPr>
        <w:jc w:val="center"/>
        <w:rPr>
          <w:b/>
          <w:i/>
          <w:color w:val="000000"/>
          <w:spacing w:val="-4"/>
          <w:sz w:val="16"/>
          <w:szCs w:val="16"/>
        </w:rPr>
      </w:pPr>
      <w:r w:rsidRPr="00B07D27">
        <w:rPr>
          <w:b/>
          <w:i/>
          <w:color w:val="000000"/>
          <w:spacing w:val="-4"/>
          <w:sz w:val="16"/>
          <w:szCs w:val="16"/>
        </w:rPr>
        <w:t xml:space="preserve">ПРИВАТНОГО АКЦІОНЕРНОГО ТОВАРИСТВА </w:t>
      </w:r>
    </w:p>
    <w:p w:rsidR="000A5B1E" w:rsidRPr="00B07D27" w:rsidRDefault="000A5B1E" w:rsidP="000A5B1E">
      <w:pPr>
        <w:jc w:val="center"/>
        <w:rPr>
          <w:i/>
          <w:spacing w:val="-4"/>
          <w:sz w:val="16"/>
          <w:szCs w:val="16"/>
        </w:rPr>
      </w:pPr>
      <w:r w:rsidRPr="00B07D27">
        <w:rPr>
          <w:b/>
          <w:i/>
          <w:color w:val="000000"/>
          <w:spacing w:val="-4"/>
          <w:sz w:val="16"/>
          <w:szCs w:val="16"/>
        </w:rPr>
        <w:t>"БОРОДЯНСЬКЕ АВТОТРАНСПОРТНЕ ПІДПРИЄМСТВО 13237"</w:t>
      </w:r>
      <w:r w:rsidRPr="00B07D27">
        <w:rPr>
          <w:i/>
          <w:color w:val="000000"/>
          <w:spacing w:val="-4"/>
          <w:sz w:val="16"/>
          <w:szCs w:val="16"/>
        </w:rPr>
        <w:t xml:space="preserve"> </w:t>
      </w:r>
      <w:r w:rsidRPr="00B07D27">
        <w:rPr>
          <w:i/>
          <w:spacing w:val="-4"/>
          <w:sz w:val="16"/>
          <w:szCs w:val="16"/>
        </w:rPr>
        <w:t xml:space="preserve"> </w:t>
      </w:r>
    </w:p>
    <w:p w:rsidR="000A5B1E" w:rsidRPr="00B07D27" w:rsidRDefault="000A5B1E" w:rsidP="000A5B1E">
      <w:pPr>
        <w:jc w:val="center"/>
        <w:rPr>
          <w:b/>
          <w:caps/>
          <w:sz w:val="16"/>
          <w:szCs w:val="16"/>
        </w:rPr>
      </w:pPr>
    </w:p>
    <w:p w:rsidR="000A5B1E" w:rsidRPr="00B07D27" w:rsidRDefault="000A5B1E" w:rsidP="000A5B1E">
      <w:pPr>
        <w:jc w:val="center"/>
        <w:rPr>
          <w:b/>
          <w:caps/>
          <w:sz w:val="16"/>
          <w:szCs w:val="16"/>
        </w:rPr>
      </w:pPr>
      <w:r w:rsidRPr="00B07D27">
        <w:rPr>
          <w:b/>
          <w:caps/>
          <w:sz w:val="16"/>
          <w:szCs w:val="16"/>
        </w:rPr>
        <w:t xml:space="preserve">Повідомлення про проведення </w:t>
      </w:r>
      <w:r>
        <w:rPr>
          <w:b/>
          <w:caps/>
          <w:sz w:val="16"/>
          <w:szCs w:val="16"/>
        </w:rPr>
        <w:t xml:space="preserve">ПОЗАЧЕРГОВИХ </w:t>
      </w:r>
      <w:r w:rsidRPr="00B07D27">
        <w:rPr>
          <w:b/>
          <w:caps/>
          <w:sz w:val="16"/>
          <w:szCs w:val="16"/>
        </w:rPr>
        <w:t>загальних зборів</w:t>
      </w:r>
    </w:p>
    <w:p w:rsidR="000A5B1E" w:rsidRPr="00B07D27" w:rsidRDefault="000A5B1E" w:rsidP="000A5B1E">
      <w:pPr>
        <w:jc w:val="both"/>
        <w:rPr>
          <w:sz w:val="16"/>
          <w:szCs w:val="16"/>
        </w:rPr>
      </w:pPr>
      <w:r w:rsidRPr="00B07D27">
        <w:rPr>
          <w:color w:val="000000"/>
          <w:sz w:val="16"/>
          <w:szCs w:val="16"/>
        </w:rPr>
        <w:t xml:space="preserve">ПРИВАТНЕ АКЦІОНЕРНЕ ТОВАРИСТВО «БОРОДЯНСЬКЕ АВТОТРАНСПОРТНЕ ПІДПРИЄМСТВО 13237» </w:t>
      </w:r>
      <w:r w:rsidRPr="00B07D27">
        <w:rPr>
          <w:sz w:val="16"/>
          <w:szCs w:val="16"/>
        </w:rPr>
        <w:t xml:space="preserve"> (код ЄДРПОУ </w:t>
      </w:r>
      <w:r w:rsidRPr="00B07D27">
        <w:rPr>
          <w:color w:val="000000"/>
          <w:sz w:val="16"/>
          <w:szCs w:val="16"/>
        </w:rPr>
        <w:t>23239330</w:t>
      </w:r>
      <w:r w:rsidRPr="00B07D27">
        <w:rPr>
          <w:sz w:val="16"/>
          <w:szCs w:val="16"/>
        </w:rPr>
        <w:t xml:space="preserve">, місцезнаходження: Україна, </w:t>
      </w:r>
      <w:r w:rsidRPr="00B07D27">
        <w:rPr>
          <w:color w:val="000000"/>
          <w:sz w:val="16"/>
          <w:szCs w:val="16"/>
        </w:rPr>
        <w:t>07800, Київська обл. Бородянський р-н, смт. Бородянка, вул. Вокзальна, 88,</w:t>
      </w:r>
      <w:r w:rsidRPr="00B07D27">
        <w:rPr>
          <w:sz w:val="16"/>
          <w:szCs w:val="16"/>
        </w:rPr>
        <w:t xml:space="preserve"> </w:t>
      </w:r>
      <w:proofErr w:type="spellStart"/>
      <w:r w:rsidRPr="00B07D27">
        <w:rPr>
          <w:sz w:val="16"/>
          <w:szCs w:val="16"/>
        </w:rPr>
        <w:t>тел</w:t>
      </w:r>
      <w:proofErr w:type="spellEnd"/>
      <w:r w:rsidRPr="00B07D27">
        <w:rPr>
          <w:sz w:val="16"/>
          <w:szCs w:val="16"/>
        </w:rPr>
        <w:t xml:space="preserve">. </w:t>
      </w:r>
      <w:r w:rsidRPr="00B07D27">
        <w:rPr>
          <w:color w:val="000000"/>
          <w:sz w:val="16"/>
          <w:szCs w:val="16"/>
        </w:rPr>
        <w:t>0447756994</w:t>
      </w:r>
      <w:r w:rsidRPr="00B07D27">
        <w:rPr>
          <w:sz w:val="16"/>
          <w:szCs w:val="16"/>
        </w:rPr>
        <w:t xml:space="preserve"> (надалі – Товариство) повідомляє, </w:t>
      </w:r>
      <w:r>
        <w:rPr>
          <w:sz w:val="16"/>
          <w:szCs w:val="16"/>
        </w:rPr>
        <w:t>про скликання позачергових Загальних зборів акціонерів Товариства на 20</w:t>
      </w:r>
      <w:r w:rsidRPr="00B07D27">
        <w:rPr>
          <w:sz w:val="16"/>
          <w:szCs w:val="16"/>
        </w:rPr>
        <w:t xml:space="preserve"> </w:t>
      </w:r>
      <w:r>
        <w:rPr>
          <w:sz w:val="16"/>
          <w:szCs w:val="16"/>
        </w:rPr>
        <w:t>серпня</w:t>
      </w:r>
      <w:r w:rsidRPr="00B07D27">
        <w:rPr>
          <w:sz w:val="16"/>
          <w:szCs w:val="16"/>
        </w:rPr>
        <w:t xml:space="preserve"> 2020 р. о</w:t>
      </w:r>
      <w:r>
        <w:rPr>
          <w:sz w:val="16"/>
          <w:szCs w:val="16"/>
        </w:rPr>
        <w:t>б</w:t>
      </w:r>
      <w:r w:rsidRPr="00B07D27">
        <w:rPr>
          <w:sz w:val="16"/>
          <w:szCs w:val="16"/>
        </w:rPr>
        <w:t xml:space="preserve"> 13:30 за адресою: Україна, </w:t>
      </w:r>
      <w:r w:rsidRPr="00B07D27">
        <w:rPr>
          <w:color w:val="000000"/>
          <w:sz w:val="16"/>
          <w:szCs w:val="16"/>
        </w:rPr>
        <w:t xml:space="preserve">07800, Київська обл. Бородянський р-н, смт. Бородянка, вул. Вокзальна, 88, </w:t>
      </w:r>
      <w:r w:rsidRPr="00B07D27">
        <w:rPr>
          <w:color w:val="000000"/>
          <w:spacing w:val="-5"/>
          <w:sz w:val="16"/>
          <w:szCs w:val="16"/>
        </w:rPr>
        <w:t xml:space="preserve">адміністративна будівля </w:t>
      </w:r>
      <w:r w:rsidRPr="00B07D27">
        <w:rPr>
          <w:bCs/>
          <w:color w:val="343434"/>
          <w:spacing w:val="-1"/>
          <w:sz w:val="16"/>
          <w:szCs w:val="16"/>
        </w:rPr>
        <w:t>ПрАТ "</w:t>
      </w:r>
      <w:r w:rsidRPr="00B07D27">
        <w:rPr>
          <w:color w:val="000000"/>
          <w:spacing w:val="-5"/>
          <w:sz w:val="16"/>
          <w:szCs w:val="16"/>
        </w:rPr>
        <w:t>Бородянське АТП 13237", 2 поверх, зал нарад</w:t>
      </w:r>
      <w:r w:rsidRPr="00B07D27">
        <w:rPr>
          <w:sz w:val="16"/>
          <w:szCs w:val="16"/>
        </w:rPr>
        <w:t>.</w:t>
      </w:r>
    </w:p>
    <w:p w:rsidR="000A5B1E" w:rsidRPr="00B07D27" w:rsidRDefault="000A5B1E" w:rsidP="000A5B1E">
      <w:pPr>
        <w:tabs>
          <w:tab w:val="num" w:pos="284"/>
          <w:tab w:val="left" w:pos="4359"/>
        </w:tabs>
        <w:jc w:val="both"/>
        <w:rPr>
          <w:sz w:val="16"/>
          <w:szCs w:val="16"/>
        </w:rPr>
      </w:pPr>
      <w:r w:rsidRPr="00B07D27">
        <w:rPr>
          <w:sz w:val="16"/>
          <w:szCs w:val="16"/>
        </w:rPr>
        <w:t xml:space="preserve">Реєстрація акціонерів (учасників) для участі у загальних зборах відбудеться в день та за місцем проведення зборів з 12 години 30 хвилин до 13 години 15 хвилин. </w:t>
      </w:r>
    </w:p>
    <w:p w:rsidR="000A5B1E" w:rsidRPr="00B07D27" w:rsidRDefault="000A5B1E" w:rsidP="000A5B1E">
      <w:pPr>
        <w:tabs>
          <w:tab w:val="num" w:pos="284"/>
          <w:tab w:val="left" w:pos="4359"/>
        </w:tabs>
        <w:jc w:val="both"/>
        <w:rPr>
          <w:sz w:val="16"/>
          <w:szCs w:val="16"/>
        </w:rPr>
      </w:pPr>
      <w:r w:rsidRPr="00B07D27">
        <w:rPr>
          <w:sz w:val="16"/>
          <w:szCs w:val="16"/>
        </w:rPr>
        <w:t xml:space="preserve">Дата складення переліку акціонерів, які мають право на участь у загальних зборах – станом на 24 годину </w:t>
      </w:r>
      <w:r>
        <w:rPr>
          <w:sz w:val="16"/>
          <w:szCs w:val="16"/>
        </w:rPr>
        <w:t>14</w:t>
      </w:r>
      <w:r w:rsidRPr="00B07D27">
        <w:rPr>
          <w:sz w:val="16"/>
          <w:szCs w:val="16"/>
        </w:rPr>
        <w:t>.0</w:t>
      </w:r>
      <w:r>
        <w:rPr>
          <w:sz w:val="16"/>
          <w:szCs w:val="16"/>
        </w:rPr>
        <w:t>8</w:t>
      </w:r>
      <w:r w:rsidRPr="00B07D27">
        <w:rPr>
          <w:sz w:val="16"/>
          <w:szCs w:val="16"/>
        </w:rPr>
        <w:t>.2020 р.</w:t>
      </w:r>
    </w:p>
    <w:p w:rsidR="000A5B1E" w:rsidRPr="00B07D27" w:rsidRDefault="000A5B1E" w:rsidP="000A5B1E">
      <w:pPr>
        <w:jc w:val="both"/>
        <w:rPr>
          <w:sz w:val="16"/>
          <w:szCs w:val="16"/>
        </w:rPr>
      </w:pPr>
      <w:r w:rsidRPr="00B07D27">
        <w:rPr>
          <w:sz w:val="16"/>
          <w:szCs w:val="16"/>
        </w:rPr>
        <w:t xml:space="preserve">Загальна кількість акцій Товариства (станом на дату складення переліку осіб, яким надсилається повідомлення про проведення Загальних зборів, а саме, на </w:t>
      </w:r>
      <w:r>
        <w:rPr>
          <w:sz w:val="16"/>
          <w:szCs w:val="16"/>
        </w:rPr>
        <w:t>15</w:t>
      </w:r>
      <w:r w:rsidRPr="00B07D27">
        <w:rPr>
          <w:sz w:val="16"/>
          <w:szCs w:val="16"/>
        </w:rPr>
        <w:t xml:space="preserve"> </w:t>
      </w:r>
      <w:r>
        <w:rPr>
          <w:sz w:val="16"/>
          <w:szCs w:val="16"/>
        </w:rPr>
        <w:t>липня</w:t>
      </w:r>
      <w:r w:rsidRPr="00B07D27">
        <w:rPr>
          <w:sz w:val="16"/>
          <w:szCs w:val="16"/>
        </w:rPr>
        <w:t xml:space="preserve"> 2020 р.) – 4 778 730 (чотири мільйони сімсот сімдесят вісім тисяч сімсот тридцять)  штук простих іменних акцій.</w:t>
      </w:r>
    </w:p>
    <w:p w:rsidR="000A5B1E" w:rsidRPr="00B07D27" w:rsidRDefault="000A5B1E" w:rsidP="000A5B1E">
      <w:pPr>
        <w:jc w:val="both"/>
        <w:rPr>
          <w:sz w:val="16"/>
          <w:szCs w:val="16"/>
        </w:rPr>
      </w:pPr>
      <w:r w:rsidRPr="00B07D27">
        <w:rPr>
          <w:sz w:val="16"/>
          <w:szCs w:val="16"/>
        </w:rPr>
        <w:t xml:space="preserve">Загальна кількість голосуючих акцій Товариства (станом на дату складення переліку осіб, яким надсилається повідомлення про проведення Загальних зборів, а саме, на </w:t>
      </w:r>
      <w:r>
        <w:rPr>
          <w:sz w:val="16"/>
          <w:szCs w:val="16"/>
        </w:rPr>
        <w:t>15</w:t>
      </w:r>
      <w:r w:rsidRPr="00B07D27">
        <w:rPr>
          <w:sz w:val="16"/>
          <w:szCs w:val="16"/>
        </w:rPr>
        <w:t xml:space="preserve"> </w:t>
      </w:r>
      <w:r>
        <w:rPr>
          <w:sz w:val="16"/>
          <w:szCs w:val="16"/>
        </w:rPr>
        <w:t>липня</w:t>
      </w:r>
      <w:r w:rsidRPr="00B07D27">
        <w:rPr>
          <w:sz w:val="16"/>
          <w:szCs w:val="16"/>
        </w:rPr>
        <w:t xml:space="preserve"> 2020 р.) – 4 609 996 (чотири мільйони шістсот дев’ять тисяч дев’ятсот дев’яносто шість)  штук простих іменних акцій.</w:t>
      </w:r>
    </w:p>
    <w:p w:rsidR="000A5B1E" w:rsidRPr="00B07D27" w:rsidRDefault="000A5B1E" w:rsidP="000A5B1E">
      <w:pPr>
        <w:ind w:firstLine="540"/>
        <w:jc w:val="center"/>
        <w:rPr>
          <w:b/>
          <w:sz w:val="16"/>
          <w:szCs w:val="16"/>
        </w:rPr>
      </w:pPr>
      <w:r w:rsidRPr="00B07D27">
        <w:rPr>
          <w:b/>
          <w:sz w:val="16"/>
          <w:szCs w:val="16"/>
        </w:rPr>
        <w:t>Перелік питань, що виносяться на голосування, згідно з</w:t>
      </w:r>
      <w:r>
        <w:rPr>
          <w:b/>
          <w:sz w:val="16"/>
          <w:szCs w:val="16"/>
        </w:rPr>
        <w:t xml:space="preserve"> проектом</w:t>
      </w:r>
      <w:r w:rsidRPr="00B07D27">
        <w:rPr>
          <w:b/>
          <w:sz w:val="16"/>
          <w:szCs w:val="16"/>
        </w:rPr>
        <w:t xml:space="preserve"> порядк</w:t>
      </w:r>
      <w:r>
        <w:rPr>
          <w:b/>
          <w:sz w:val="16"/>
          <w:szCs w:val="16"/>
        </w:rPr>
        <w:t>у</w:t>
      </w:r>
      <w:r w:rsidRPr="00B07D27">
        <w:rPr>
          <w:b/>
          <w:sz w:val="16"/>
          <w:szCs w:val="16"/>
        </w:rPr>
        <w:t xml:space="preserve"> денн</w:t>
      </w:r>
      <w:r>
        <w:rPr>
          <w:b/>
          <w:sz w:val="16"/>
          <w:szCs w:val="16"/>
        </w:rPr>
        <w:t>ого</w:t>
      </w:r>
      <w:r w:rsidRPr="00B07D27">
        <w:rPr>
          <w:b/>
          <w:sz w:val="16"/>
          <w:szCs w:val="16"/>
        </w:rPr>
        <w:t>:</w:t>
      </w:r>
    </w:p>
    <w:p w:rsidR="000A5B1E" w:rsidRPr="000A5B1E" w:rsidRDefault="000A5B1E" w:rsidP="000A5B1E">
      <w:pPr>
        <w:jc w:val="both"/>
        <w:rPr>
          <w:spacing w:val="-4"/>
          <w:sz w:val="16"/>
          <w:szCs w:val="18"/>
        </w:rPr>
      </w:pPr>
      <w:r w:rsidRPr="000A5B1E">
        <w:rPr>
          <w:spacing w:val="-4"/>
          <w:sz w:val="16"/>
          <w:szCs w:val="18"/>
        </w:rPr>
        <w:t>1. Про обрання членів лічильної комісії, прийняття рішення про припинення їх повноважень.</w:t>
      </w:r>
    </w:p>
    <w:p w:rsidR="000A5B1E" w:rsidRPr="000A5B1E" w:rsidRDefault="000A5B1E" w:rsidP="000A5B1E">
      <w:pPr>
        <w:jc w:val="both"/>
        <w:rPr>
          <w:spacing w:val="-4"/>
          <w:sz w:val="16"/>
          <w:szCs w:val="18"/>
        </w:rPr>
      </w:pPr>
      <w:r w:rsidRPr="000A5B1E">
        <w:rPr>
          <w:spacing w:val="-4"/>
          <w:sz w:val="16"/>
          <w:szCs w:val="18"/>
        </w:rPr>
        <w:t>2. Про припинення (дострокове припинення) повноважень членів Наглядової ради Товариства.</w:t>
      </w:r>
    </w:p>
    <w:p w:rsidR="000A5B1E" w:rsidRPr="000A5B1E" w:rsidRDefault="000A5B1E" w:rsidP="000A5B1E">
      <w:pPr>
        <w:jc w:val="both"/>
        <w:rPr>
          <w:spacing w:val="-4"/>
          <w:sz w:val="16"/>
          <w:szCs w:val="18"/>
        </w:rPr>
      </w:pPr>
      <w:r w:rsidRPr="000A5B1E">
        <w:rPr>
          <w:spacing w:val="-4"/>
          <w:sz w:val="16"/>
          <w:szCs w:val="18"/>
        </w:rPr>
        <w:t>3. Про обрання членів Наглядової ради Товариства.</w:t>
      </w:r>
    </w:p>
    <w:p w:rsidR="000A5B1E" w:rsidRPr="000A5B1E" w:rsidRDefault="000A5B1E" w:rsidP="000A5B1E">
      <w:pPr>
        <w:jc w:val="both"/>
        <w:rPr>
          <w:spacing w:val="-4"/>
          <w:sz w:val="16"/>
          <w:szCs w:val="18"/>
        </w:rPr>
      </w:pPr>
      <w:r w:rsidRPr="000A5B1E">
        <w:rPr>
          <w:spacing w:val="-4"/>
          <w:sz w:val="16"/>
          <w:szCs w:val="18"/>
        </w:rPr>
        <w:t>4. Про затвердження умов договорів (типової форми договору), що укладатимуться з членами Наглядової ради Товариства, встановлення розміру їх винагороди, обрання особи, як уповноважується на підписання договорів з членами Наглядової ради Товариства.</w:t>
      </w:r>
    </w:p>
    <w:p w:rsidR="000A5B1E" w:rsidRPr="000A5B1E" w:rsidRDefault="000A5B1E" w:rsidP="000A5B1E">
      <w:pPr>
        <w:jc w:val="both"/>
        <w:rPr>
          <w:spacing w:val="-4"/>
          <w:sz w:val="16"/>
          <w:szCs w:val="18"/>
        </w:rPr>
      </w:pPr>
      <w:r w:rsidRPr="000A5B1E">
        <w:rPr>
          <w:spacing w:val="-4"/>
          <w:sz w:val="16"/>
          <w:szCs w:val="18"/>
        </w:rPr>
        <w:t>5. Про схвалення значного правочину.</w:t>
      </w:r>
    </w:p>
    <w:p w:rsidR="000A5B1E" w:rsidRPr="000A5B1E" w:rsidRDefault="000A5B1E" w:rsidP="000A5B1E">
      <w:pPr>
        <w:jc w:val="both"/>
        <w:rPr>
          <w:spacing w:val="-4"/>
          <w:sz w:val="16"/>
          <w:szCs w:val="18"/>
        </w:rPr>
      </w:pPr>
      <w:r w:rsidRPr="000A5B1E">
        <w:rPr>
          <w:spacing w:val="-4"/>
          <w:sz w:val="16"/>
          <w:szCs w:val="18"/>
        </w:rPr>
        <w:t>6. Про надання згоди на вчинення значних правочинів та правочинів із заінтересованістю.</w:t>
      </w:r>
    </w:p>
    <w:p w:rsidR="000A5B1E" w:rsidRPr="000A5B1E" w:rsidRDefault="000A5B1E" w:rsidP="000A5B1E">
      <w:pPr>
        <w:jc w:val="both"/>
        <w:rPr>
          <w:color w:val="000000" w:themeColor="text1"/>
          <w:sz w:val="16"/>
          <w:szCs w:val="18"/>
          <w:shd w:val="clear" w:color="auto" w:fill="FFFFFF"/>
        </w:rPr>
      </w:pPr>
      <w:r w:rsidRPr="000A5B1E">
        <w:rPr>
          <w:color w:val="000000" w:themeColor="text1"/>
          <w:sz w:val="16"/>
          <w:szCs w:val="18"/>
          <w:shd w:val="clear" w:color="auto" w:fill="FFFFFF"/>
        </w:rPr>
        <w:t>7. Прийняття рішення про передачу майна Товариства в іпотеку.</w:t>
      </w:r>
    </w:p>
    <w:p w:rsidR="000A5B1E" w:rsidRDefault="000A5B1E" w:rsidP="000A5B1E">
      <w:pPr>
        <w:jc w:val="both"/>
        <w:rPr>
          <w:sz w:val="16"/>
          <w:szCs w:val="18"/>
        </w:rPr>
      </w:pPr>
      <w:r w:rsidRPr="000A5B1E">
        <w:rPr>
          <w:sz w:val="16"/>
          <w:szCs w:val="18"/>
        </w:rPr>
        <w:t>8. Про надання повноважень на укладання значних правочинів та правочинів із заінтересованістю.</w:t>
      </w:r>
    </w:p>
    <w:p w:rsidR="000A5B1E" w:rsidRPr="000A5B1E" w:rsidRDefault="000A5B1E" w:rsidP="000A5B1E">
      <w:pPr>
        <w:jc w:val="both"/>
        <w:rPr>
          <w:sz w:val="16"/>
          <w:szCs w:val="18"/>
        </w:rPr>
      </w:pPr>
    </w:p>
    <w:p w:rsidR="000A5B1E" w:rsidRPr="00B07D27" w:rsidRDefault="000A5B1E" w:rsidP="000A5B1E">
      <w:pPr>
        <w:pStyle w:val="a4"/>
        <w:ind w:left="0"/>
        <w:jc w:val="center"/>
        <w:rPr>
          <w:b/>
          <w:spacing w:val="-4"/>
          <w:sz w:val="16"/>
          <w:szCs w:val="16"/>
        </w:rPr>
      </w:pPr>
      <w:r w:rsidRPr="00B07D27">
        <w:rPr>
          <w:b/>
          <w:spacing w:val="-4"/>
          <w:sz w:val="16"/>
          <w:szCs w:val="16"/>
        </w:rPr>
        <w:t>Проект порядку денного та проекти рішень:</w:t>
      </w:r>
    </w:p>
    <w:p w:rsidR="000A5B1E" w:rsidRPr="000A5B1E" w:rsidRDefault="000A5B1E" w:rsidP="000A5B1E">
      <w:pPr>
        <w:jc w:val="both"/>
        <w:rPr>
          <w:b/>
          <w:spacing w:val="-4"/>
          <w:sz w:val="16"/>
          <w:szCs w:val="18"/>
        </w:rPr>
      </w:pPr>
      <w:r w:rsidRPr="000A5B1E">
        <w:rPr>
          <w:b/>
          <w:spacing w:val="-4"/>
          <w:sz w:val="16"/>
          <w:szCs w:val="18"/>
        </w:rPr>
        <w:t>З першого питання:</w:t>
      </w:r>
    </w:p>
    <w:p w:rsidR="000A5B1E" w:rsidRPr="000A5B1E" w:rsidRDefault="000A5B1E" w:rsidP="000A5B1E">
      <w:pPr>
        <w:jc w:val="both"/>
        <w:rPr>
          <w:spacing w:val="-4"/>
          <w:sz w:val="16"/>
          <w:szCs w:val="18"/>
        </w:rPr>
      </w:pPr>
      <w:r w:rsidRPr="000A5B1E">
        <w:rPr>
          <w:spacing w:val="-4"/>
          <w:sz w:val="16"/>
          <w:szCs w:val="18"/>
        </w:rPr>
        <w:t xml:space="preserve">1. Обрати – </w:t>
      </w:r>
      <w:r w:rsidR="003D26B9">
        <w:rPr>
          <w:spacing w:val="-4"/>
          <w:sz w:val="16"/>
          <w:szCs w:val="18"/>
        </w:rPr>
        <w:t>Шевченко Наталію Василівну</w:t>
      </w:r>
      <w:r w:rsidRPr="000A5B1E">
        <w:rPr>
          <w:spacing w:val="-4"/>
          <w:sz w:val="16"/>
          <w:szCs w:val="18"/>
        </w:rPr>
        <w:t xml:space="preserve"> головою лічильної комісії Зборів Товариства, </w:t>
      </w:r>
      <w:proofErr w:type="spellStart"/>
      <w:r w:rsidR="00015B8D" w:rsidRPr="00015B8D">
        <w:rPr>
          <w:spacing w:val="-4"/>
          <w:sz w:val="16"/>
          <w:szCs w:val="18"/>
        </w:rPr>
        <w:t>Соніс</w:t>
      </w:r>
      <w:proofErr w:type="spellEnd"/>
      <w:r w:rsidR="00015B8D" w:rsidRPr="00015B8D">
        <w:rPr>
          <w:spacing w:val="-4"/>
          <w:sz w:val="16"/>
          <w:szCs w:val="18"/>
        </w:rPr>
        <w:t xml:space="preserve"> Наталія</w:t>
      </w:r>
      <w:r w:rsidR="00015B8D">
        <w:rPr>
          <w:spacing w:val="-4"/>
          <w:sz w:val="16"/>
          <w:szCs w:val="18"/>
        </w:rPr>
        <w:t xml:space="preserve"> Яківна </w:t>
      </w:r>
      <w:r w:rsidRPr="000A5B1E">
        <w:rPr>
          <w:spacing w:val="-4"/>
          <w:sz w:val="16"/>
          <w:szCs w:val="18"/>
        </w:rPr>
        <w:t xml:space="preserve"> – членом лічильної комісії Зборів Товариства. Повноваження лічильної комісії вважати припиненими після розгляду та підрахунку голосів з усіх питань порядку денного.</w:t>
      </w:r>
    </w:p>
    <w:p w:rsidR="000A5B1E" w:rsidRPr="000A5B1E" w:rsidRDefault="000A5B1E" w:rsidP="000A5B1E">
      <w:pPr>
        <w:jc w:val="both"/>
        <w:rPr>
          <w:b/>
          <w:spacing w:val="-4"/>
          <w:sz w:val="16"/>
          <w:szCs w:val="18"/>
        </w:rPr>
      </w:pPr>
      <w:r w:rsidRPr="000A5B1E">
        <w:rPr>
          <w:b/>
          <w:spacing w:val="-4"/>
          <w:sz w:val="16"/>
          <w:szCs w:val="18"/>
        </w:rPr>
        <w:t>З другого питання:</w:t>
      </w:r>
    </w:p>
    <w:p w:rsidR="000A5B1E" w:rsidRPr="000A5B1E" w:rsidRDefault="000A5B1E" w:rsidP="000A5B1E">
      <w:pPr>
        <w:jc w:val="both"/>
        <w:rPr>
          <w:spacing w:val="-4"/>
          <w:sz w:val="16"/>
          <w:szCs w:val="18"/>
        </w:rPr>
      </w:pPr>
      <w:r w:rsidRPr="000A5B1E">
        <w:rPr>
          <w:spacing w:val="-4"/>
          <w:sz w:val="16"/>
          <w:szCs w:val="18"/>
        </w:rPr>
        <w:t>2. Припинити (достроково припинити) повноваження членів Наглядової ради Товариства: Мещаніної Ольги Вікторівни (Голова Наглядової ради), Лілової Ірини Євгенівни та Бодарацького Олександра Володимировича;</w:t>
      </w:r>
    </w:p>
    <w:p w:rsidR="000A5B1E" w:rsidRPr="000A5B1E" w:rsidRDefault="000A5B1E" w:rsidP="000A5B1E">
      <w:pPr>
        <w:jc w:val="both"/>
        <w:rPr>
          <w:b/>
          <w:spacing w:val="-4"/>
          <w:sz w:val="16"/>
          <w:szCs w:val="18"/>
        </w:rPr>
      </w:pPr>
      <w:r w:rsidRPr="000A5B1E">
        <w:rPr>
          <w:b/>
          <w:spacing w:val="-4"/>
          <w:sz w:val="16"/>
          <w:szCs w:val="18"/>
        </w:rPr>
        <w:t>З третього питання:</w:t>
      </w:r>
    </w:p>
    <w:p w:rsidR="000A5B1E" w:rsidRPr="000A5B1E" w:rsidRDefault="000A5B1E" w:rsidP="000A5B1E">
      <w:pPr>
        <w:tabs>
          <w:tab w:val="left" w:pos="993"/>
        </w:tabs>
        <w:jc w:val="both"/>
        <w:rPr>
          <w:spacing w:val="-4"/>
          <w:sz w:val="16"/>
          <w:szCs w:val="18"/>
        </w:rPr>
      </w:pPr>
      <w:r w:rsidRPr="000A5B1E">
        <w:rPr>
          <w:spacing w:val="-4"/>
          <w:sz w:val="16"/>
          <w:szCs w:val="18"/>
        </w:rPr>
        <w:t xml:space="preserve">3. (Коментар органу управління: Кожний акціонер має право </w:t>
      </w:r>
      <w:proofErr w:type="spellStart"/>
      <w:r w:rsidRPr="000A5B1E">
        <w:rPr>
          <w:spacing w:val="-4"/>
          <w:sz w:val="16"/>
          <w:szCs w:val="18"/>
        </w:rPr>
        <w:t>внести</w:t>
      </w:r>
      <w:proofErr w:type="spellEnd"/>
      <w:r w:rsidRPr="000A5B1E">
        <w:rPr>
          <w:spacing w:val="-4"/>
          <w:sz w:val="16"/>
          <w:szCs w:val="18"/>
        </w:rPr>
        <w:t xml:space="preserve"> пропозиції щодо питань, включених до проекту порядку денного загальних зборів акціонерного товариства, а також щодо нових кандидатів до складу органів товариства, кількість яких не може перевищувати кількісного складу кожного з органів).  </w:t>
      </w:r>
    </w:p>
    <w:p w:rsidR="000A5B1E" w:rsidRPr="000A5B1E" w:rsidRDefault="000A5B1E" w:rsidP="000A5B1E">
      <w:pPr>
        <w:tabs>
          <w:tab w:val="left" w:pos="993"/>
        </w:tabs>
        <w:jc w:val="both"/>
        <w:rPr>
          <w:b/>
          <w:spacing w:val="-4"/>
          <w:sz w:val="16"/>
          <w:szCs w:val="18"/>
        </w:rPr>
      </w:pPr>
      <w:r w:rsidRPr="000A5B1E">
        <w:rPr>
          <w:b/>
          <w:spacing w:val="-4"/>
          <w:sz w:val="16"/>
          <w:szCs w:val="18"/>
        </w:rPr>
        <w:t>З четвертого питання:</w:t>
      </w:r>
    </w:p>
    <w:p w:rsidR="000A5B1E" w:rsidRPr="000A5B1E" w:rsidRDefault="000A5B1E" w:rsidP="000A5B1E">
      <w:pPr>
        <w:tabs>
          <w:tab w:val="left" w:pos="993"/>
        </w:tabs>
        <w:jc w:val="both"/>
        <w:rPr>
          <w:spacing w:val="-4"/>
          <w:sz w:val="16"/>
          <w:szCs w:val="18"/>
        </w:rPr>
      </w:pPr>
      <w:r w:rsidRPr="000A5B1E">
        <w:rPr>
          <w:spacing w:val="-4"/>
          <w:sz w:val="16"/>
          <w:szCs w:val="18"/>
        </w:rPr>
        <w:t>4. Затвердити умови договорів (типову форму договору), які укладатимуться з членами Наглядової ради Товариства. Обрати особою, що уповноважується на підписання договорів з членами Наглядової ради Товариства на затверджених умовах, Генерального директора Товариства – Захарєнкова Євгенія Романовича</w:t>
      </w:r>
    </w:p>
    <w:p w:rsidR="000A5B1E" w:rsidRPr="000A5B1E" w:rsidRDefault="000A5B1E" w:rsidP="000A5B1E">
      <w:pPr>
        <w:jc w:val="both"/>
        <w:rPr>
          <w:b/>
          <w:spacing w:val="-4"/>
          <w:sz w:val="16"/>
          <w:szCs w:val="18"/>
        </w:rPr>
      </w:pPr>
      <w:r w:rsidRPr="000A5B1E">
        <w:rPr>
          <w:b/>
          <w:spacing w:val="-4"/>
          <w:sz w:val="16"/>
          <w:szCs w:val="18"/>
        </w:rPr>
        <w:t>З п’ятого питання:</w:t>
      </w:r>
    </w:p>
    <w:p w:rsidR="000A5B1E" w:rsidRPr="000A5B1E" w:rsidRDefault="000A5B1E" w:rsidP="000A5B1E">
      <w:pPr>
        <w:tabs>
          <w:tab w:val="left" w:pos="993"/>
        </w:tabs>
        <w:jc w:val="both"/>
        <w:rPr>
          <w:spacing w:val="-4"/>
          <w:sz w:val="16"/>
          <w:szCs w:val="18"/>
        </w:rPr>
      </w:pPr>
      <w:r w:rsidRPr="000A5B1E">
        <w:rPr>
          <w:spacing w:val="-4"/>
          <w:sz w:val="16"/>
          <w:szCs w:val="18"/>
        </w:rPr>
        <w:t xml:space="preserve">5. Схвалити укладений 01.07.2020 року Договір поворотної безвідсоткової фінансової допомоги, укладений між Товариством (Позичальник) та ТОВ «ВІК БУД ТРЕЙД» (Позикодавець), на суму 6 312 000,00 (шість мільйонів триста дванадцять тисяч грн, 00 </w:t>
      </w:r>
      <w:proofErr w:type="spellStart"/>
      <w:r w:rsidRPr="000A5B1E">
        <w:rPr>
          <w:spacing w:val="-4"/>
          <w:sz w:val="16"/>
          <w:szCs w:val="18"/>
        </w:rPr>
        <w:t>коп</w:t>
      </w:r>
      <w:proofErr w:type="spellEnd"/>
      <w:r w:rsidRPr="000A5B1E">
        <w:rPr>
          <w:spacing w:val="-4"/>
          <w:sz w:val="16"/>
          <w:szCs w:val="18"/>
        </w:rPr>
        <w:t>) гривень із строком повернення фінансової допомоги не пізніше 30 червня 2021 року.</w:t>
      </w:r>
    </w:p>
    <w:p w:rsidR="000A5B1E" w:rsidRPr="000A5B1E" w:rsidRDefault="000A5B1E" w:rsidP="000A5B1E">
      <w:pPr>
        <w:jc w:val="both"/>
        <w:rPr>
          <w:b/>
          <w:spacing w:val="-4"/>
          <w:sz w:val="16"/>
          <w:szCs w:val="18"/>
        </w:rPr>
      </w:pPr>
      <w:r w:rsidRPr="000A5B1E">
        <w:rPr>
          <w:b/>
          <w:spacing w:val="-4"/>
          <w:sz w:val="16"/>
          <w:szCs w:val="18"/>
        </w:rPr>
        <w:t>З шостого питання:</w:t>
      </w:r>
    </w:p>
    <w:p w:rsidR="000A5B1E" w:rsidRPr="000A5B1E" w:rsidRDefault="000A5B1E" w:rsidP="000A5B1E">
      <w:pPr>
        <w:jc w:val="both"/>
        <w:rPr>
          <w:spacing w:val="-4"/>
          <w:sz w:val="16"/>
          <w:szCs w:val="18"/>
        </w:rPr>
      </w:pPr>
      <w:r w:rsidRPr="000A5B1E">
        <w:rPr>
          <w:spacing w:val="-4"/>
          <w:sz w:val="16"/>
          <w:szCs w:val="18"/>
        </w:rPr>
        <w:t>6.1 Надати згоду Товариству на укладення значних правочинів та правочинів із заінтересованістю, в забезпечення виконання всіх існуючих та майбутніх зобов‘язань ТОВ «ВІК БУД ТРЕЙД (код ЄДРПОУ 38316536) перед АТ «</w:t>
      </w:r>
      <w:proofErr w:type="spellStart"/>
      <w:r w:rsidRPr="000A5B1E">
        <w:rPr>
          <w:spacing w:val="-4"/>
          <w:sz w:val="16"/>
          <w:szCs w:val="18"/>
        </w:rPr>
        <w:t>ПроКредит</w:t>
      </w:r>
      <w:proofErr w:type="spellEnd"/>
      <w:r w:rsidRPr="000A5B1E">
        <w:rPr>
          <w:spacing w:val="-4"/>
          <w:sz w:val="16"/>
          <w:szCs w:val="18"/>
        </w:rPr>
        <w:t xml:space="preserve"> Банк» за Кредитним договором №115.50328/FW115.1032 від 02.07.2020 року:</w:t>
      </w:r>
    </w:p>
    <w:p w:rsidR="000A5B1E" w:rsidRPr="000A5B1E" w:rsidRDefault="000A5B1E" w:rsidP="000A5B1E">
      <w:pPr>
        <w:jc w:val="both"/>
        <w:rPr>
          <w:spacing w:val="-4"/>
          <w:sz w:val="16"/>
          <w:szCs w:val="18"/>
        </w:rPr>
      </w:pPr>
      <w:r w:rsidRPr="000A5B1E">
        <w:rPr>
          <w:spacing w:val="-4"/>
          <w:sz w:val="16"/>
          <w:szCs w:val="18"/>
        </w:rPr>
        <w:t>а) Позичальник – ТОВ «ВІК БУД ТРЕЙД (код ЄДРПОУ 38316536);</w:t>
      </w:r>
    </w:p>
    <w:p w:rsidR="000A5B1E" w:rsidRPr="000A5B1E" w:rsidRDefault="000A5B1E" w:rsidP="000A5B1E">
      <w:pPr>
        <w:jc w:val="both"/>
        <w:rPr>
          <w:spacing w:val="-4"/>
          <w:sz w:val="16"/>
          <w:szCs w:val="18"/>
        </w:rPr>
      </w:pPr>
      <w:r w:rsidRPr="000A5B1E">
        <w:rPr>
          <w:spacing w:val="-4"/>
          <w:sz w:val="16"/>
          <w:szCs w:val="18"/>
        </w:rPr>
        <w:t>б) суми кредиту – 894 400,00 (вісімсот дев‘яносто чотири тисячі чотириста) доларів США, строком на 60 місяців;</w:t>
      </w:r>
    </w:p>
    <w:p w:rsidR="000A5B1E" w:rsidRPr="000A5B1E" w:rsidRDefault="000A5B1E" w:rsidP="000A5B1E">
      <w:pPr>
        <w:jc w:val="both"/>
        <w:rPr>
          <w:spacing w:val="-4"/>
          <w:sz w:val="16"/>
          <w:szCs w:val="18"/>
        </w:rPr>
      </w:pPr>
      <w:r w:rsidRPr="000A5B1E">
        <w:rPr>
          <w:spacing w:val="-4"/>
          <w:sz w:val="16"/>
          <w:szCs w:val="18"/>
        </w:rPr>
        <w:t>в) процентів на суму кредиту – змінювані, 5% (п‘ять) відсотків, виходячи з 360 календарних днів у році;</w:t>
      </w:r>
    </w:p>
    <w:p w:rsidR="000A5B1E" w:rsidRPr="000A5B1E" w:rsidRDefault="000A5B1E" w:rsidP="000A5B1E">
      <w:pPr>
        <w:jc w:val="both"/>
        <w:rPr>
          <w:spacing w:val="-4"/>
          <w:sz w:val="16"/>
          <w:szCs w:val="18"/>
        </w:rPr>
      </w:pPr>
      <w:r w:rsidRPr="000A5B1E">
        <w:rPr>
          <w:spacing w:val="-4"/>
          <w:sz w:val="16"/>
          <w:szCs w:val="18"/>
        </w:rPr>
        <w:t>г) штрафних санкції (у випадку виникнення таких);</w:t>
      </w:r>
    </w:p>
    <w:p w:rsidR="000A5B1E" w:rsidRPr="000A5B1E" w:rsidRDefault="000A5B1E" w:rsidP="000A5B1E">
      <w:pPr>
        <w:jc w:val="both"/>
        <w:rPr>
          <w:spacing w:val="-4"/>
          <w:sz w:val="16"/>
          <w:szCs w:val="18"/>
        </w:rPr>
      </w:pPr>
      <w:r w:rsidRPr="000A5B1E">
        <w:rPr>
          <w:spacing w:val="-4"/>
          <w:sz w:val="16"/>
          <w:szCs w:val="18"/>
        </w:rPr>
        <w:t>ґ) інших зобов‘язань, які можуть виникнути на підставі цього Кредитного договору, а саме, але не обмежуючись:</w:t>
      </w:r>
    </w:p>
    <w:p w:rsidR="000A5B1E" w:rsidRPr="000A5B1E" w:rsidRDefault="000A5B1E" w:rsidP="000A5B1E">
      <w:pPr>
        <w:jc w:val="both"/>
        <w:rPr>
          <w:spacing w:val="-4"/>
          <w:sz w:val="16"/>
          <w:szCs w:val="18"/>
        </w:rPr>
      </w:pPr>
      <w:r w:rsidRPr="000A5B1E">
        <w:rPr>
          <w:spacing w:val="-4"/>
          <w:sz w:val="16"/>
          <w:szCs w:val="18"/>
        </w:rPr>
        <w:t>- договору (майнової та/або фінансової) поруки, в якості поручителя, умови якого передбачають забезпечення виконання всіх зобов‘язань Позичальника за Кредитним договором;</w:t>
      </w:r>
    </w:p>
    <w:p w:rsidR="000A5B1E" w:rsidRPr="000A5B1E" w:rsidRDefault="000A5B1E" w:rsidP="000A5B1E">
      <w:pPr>
        <w:jc w:val="both"/>
        <w:rPr>
          <w:spacing w:val="-4"/>
          <w:sz w:val="16"/>
          <w:szCs w:val="18"/>
        </w:rPr>
      </w:pPr>
      <w:r w:rsidRPr="000A5B1E">
        <w:rPr>
          <w:spacing w:val="-4"/>
          <w:sz w:val="16"/>
          <w:szCs w:val="18"/>
        </w:rPr>
        <w:t xml:space="preserve">- договору іпотеки, в якості </w:t>
      </w:r>
      <w:proofErr w:type="spellStart"/>
      <w:r w:rsidRPr="000A5B1E">
        <w:rPr>
          <w:spacing w:val="-4"/>
          <w:sz w:val="16"/>
          <w:szCs w:val="18"/>
        </w:rPr>
        <w:t>іпотекодавця</w:t>
      </w:r>
      <w:proofErr w:type="spellEnd"/>
      <w:r w:rsidRPr="000A5B1E">
        <w:rPr>
          <w:spacing w:val="-4"/>
          <w:sz w:val="16"/>
          <w:szCs w:val="18"/>
        </w:rPr>
        <w:t>, умови якого передбачають передачу в іпотеку АТ «</w:t>
      </w:r>
      <w:proofErr w:type="spellStart"/>
      <w:r w:rsidRPr="000A5B1E">
        <w:rPr>
          <w:spacing w:val="-4"/>
          <w:sz w:val="16"/>
          <w:szCs w:val="18"/>
        </w:rPr>
        <w:t>ПроКредит</w:t>
      </w:r>
      <w:proofErr w:type="spellEnd"/>
      <w:r w:rsidRPr="000A5B1E">
        <w:rPr>
          <w:spacing w:val="-4"/>
          <w:sz w:val="16"/>
          <w:szCs w:val="18"/>
        </w:rPr>
        <w:t xml:space="preserve"> Банк» належного на праві власності Товариству нерухомого майна, загальної площею 7460,8 </w:t>
      </w:r>
      <w:proofErr w:type="spellStart"/>
      <w:r w:rsidRPr="000A5B1E">
        <w:rPr>
          <w:spacing w:val="-4"/>
          <w:sz w:val="16"/>
          <w:szCs w:val="18"/>
        </w:rPr>
        <w:t>кв.м</w:t>
      </w:r>
      <w:proofErr w:type="spellEnd"/>
      <w:r w:rsidRPr="000A5B1E">
        <w:rPr>
          <w:spacing w:val="-4"/>
          <w:sz w:val="16"/>
          <w:szCs w:val="18"/>
        </w:rPr>
        <w:t>.</w:t>
      </w:r>
    </w:p>
    <w:p w:rsidR="000A5B1E" w:rsidRPr="000A5B1E" w:rsidRDefault="000A5B1E" w:rsidP="000A5B1E">
      <w:pPr>
        <w:jc w:val="both"/>
        <w:rPr>
          <w:spacing w:val="-4"/>
          <w:sz w:val="16"/>
          <w:szCs w:val="18"/>
        </w:rPr>
      </w:pPr>
      <w:r w:rsidRPr="000A5B1E">
        <w:rPr>
          <w:spacing w:val="-4"/>
          <w:sz w:val="16"/>
          <w:szCs w:val="18"/>
        </w:rPr>
        <w:t>6.2. Затвердити проекти договорів поруки та іпотеки, з правом Генерального директора Товариства самостійно визначати всі умови проектів поруки та іпотеки, а саме, але не обмежуючись:</w:t>
      </w:r>
    </w:p>
    <w:p w:rsidR="000A5B1E" w:rsidRPr="000A5B1E" w:rsidRDefault="000A5B1E" w:rsidP="000A5B1E">
      <w:pPr>
        <w:jc w:val="both"/>
        <w:rPr>
          <w:spacing w:val="-4"/>
          <w:sz w:val="16"/>
          <w:szCs w:val="18"/>
        </w:rPr>
      </w:pPr>
      <w:r w:rsidRPr="000A5B1E">
        <w:rPr>
          <w:spacing w:val="-4"/>
          <w:sz w:val="16"/>
          <w:szCs w:val="18"/>
        </w:rPr>
        <w:t>- порядку та умов виконання зобов‘язання поручителем/</w:t>
      </w:r>
      <w:proofErr w:type="spellStart"/>
      <w:r w:rsidRPr="000A5B1E">
        <w:rPr>
          <w:spacing w:val="-4"/>
          <w:sz w:val="16"/>
          <w:szCs w:val="18"/>
        </w:rPr>
        <w:t>іпотекодавцем</w:t>
      </w:r>
      <w:proofErr w:type="spellEnd"/>
      <w:r w:rsidRPr="000A5B1E">
        <w:rPr>
          <w:spacing w:val="-4"/>
          <w:sz w:val="16"/>
          <w:szCs w:val="18"/>
        </w:rPr>
        <w:t>;</w:t>
      </w:r>
    </w:p>
    <w:p w:rsidR="000A5B1E" w:rsidRPr="000A5B1E" w:rsidRDefault="000A5B1E" w:rsidP="000A5B1E">
      <w:pPr>
        <w:jc w:val="both"/>
        <w:rPr>
          <w:spacing w:val="-4"/>
          <w:sz w:val="16"/>
          <w:szCs w:val="18"/>
        </w:rPr>
      </w:pPr>
      <w:r w:rsidRPr="000A5B1E">
        <w:rPr>
          <w:spacing w:val="-4"/>
          <w:sz w:val="16"/>
          <w:szCs w:val="18"/>
        </w:rPr>
        <w:t>- загальних умови іпотеки;</w:t>
      </w:r>
    </w:p>
    <w:p w:rsidR="000A5B1E" w:rsidRPr="000A5B1E" w:rsidRDefault="000A5B1E" w:rsidP="000A5B1E">
      <w:pPr>
        <w:jc w:val="both"/>
        <w:rPr>
          <w:spacing w:val="-4"/>
          <w:sz w:val="16"/>
          <w:szCs w:val="18"/>
        </w:rPr>
      </w:pPr>
      <w:r w:rsidRPr="000A5B1E">
        <w:rPr>
          <w:spacing w:val="-4"/>
          <w:sz w:val="16"/>
          <w:szCs w:val="18"/>
        </w:rPr>
        <w:t>- обмежень, пов‘язаних з іпотекою;</w:t>
      </w:r>
    </w:p>
    <w:p w:rsidR="000A5B1E" w:rsidRPr="000A5B1E" w:rsidRDefault="000A5B1E" w:rsidP="000A5B1E">
      <w:pPr>
        <w:jc w:val="both"/>
        <w:rPr>
          <w:spacing w:val="-4"/>
          <w:sz w:val="16"/>
          <w:szCs w:val="18"/>
        </w:rPr>
      </w:pPr>
      <w:r w:rsidRPr="000A5B1E">
        <w:rPr>
          <w:spacing w:val="-4"/>
          <w:sz w:val="16"/>
          <w:szCs w:val="18"/>
        </w:rPr>
        <w:t>- прав та обов‘язків сторін;</w:t>
      </w:r>
    </w:p>
    <w:p w:rsidR="000A5B1E" w:rsidRPr="000A5B1E" w:rsidRDefault="000A5B1E" w:rsidP="000A5B1E">
      <w:pPr>
        <w:jc w:val="both"/>
        <w:rPr>
          <w:spacing w:val="-4"/>
          <w:sz w:val="16"/>
          <w:szCs w:val="18"/>
        </w:rPr>
      </w:pPr>
      <w:r w:rsidRPr="000A5B1E">
        <w:rPr>
          <w:spacing w:val="-4"/>
          <w:sz w:val="16"/>
          <w:szCs w:val="18"/>
        </w:rPr>
        <w:t>- звернення стягнення на іпотеку;</w:t>
      </w:r>
    </w:p>
    <w:p w:rsidR="000A5B1E" w:rsidRPr="000A5B1E" w:rsidRDefault="000A5B1E" w:rsidP="000A5B1E">
      <w:pPr>
        <w:jc w:val="both"/>
        <w:rPr>
          <w:spacing w:val="-4"/>
          <w:sz w:val="16"/>
          <w:szCs w:val="18"/>
        </w:rPr>
      </w:pPr>
      <w:r w:rsidRPr="000A5B1E">
        <w:rPr>
          <w:spacing w:val="-4"/>
          <w:sz w:val="16"/>
          <w:szCs w:val="18"/>
        </w:rPr>
        <w:t>- застережень про задоволення вимог іпотекодержателя;</w:t>
      </w:r>
    </w:p>
    <w:p w:rsidR="000A5B1E" w:rsidRPr="000A5B1E" w:rsidRDefault="000A5B1E" w:rsidP="000A5B1E">
      <w:pPr>
        <w:jc w:val="both"/>
        <w:rPr>
          <w:spacing w:val="-4"/>
          <w:sz w:val="16"/>
          <w:szCs w:val="18"/>
        </w:rPr>
      </w:pPr>
      <w:r w:rsidRPr="000A5B1E">
        <w:rPr>
          <w:spacing w:val="-4"/>
          <w:sz w:val="16"/>
          <w:szCs w:val="18"/>
        </w:rPr>
        <w:t>- відповідальності сторін;</w:t>
      </w:r>
    </w:p>
    <w:p w:rsidR="000A5B1E" w:rsidRPr="000A5B1E" w:rsidRDefault="000A5B1E" w:rsidP="000A5B1E">
      <w:pPr>
        <w:jc w:val="both"/>
        <w:rPr>
          <w:spacing w:val="-4"/>
          <w:sz w:val="16"/>
          <w:szCs w:val="18"/>
        </w:rPr>
      </w:pPr>
      <w:r w:rsidRPr="000A5B1E">
        <w:rPr>
          <w:spacing w:val="-4"/>
          <w:sz w:val="16"/>
          <w:szCs w:val="18"/>
        </w:rPr>
        <w:t>- строку дії договорів поруки та іпотеки та їх прикінцевих положень.</w:t>
      </w:r>
    </w:p>
    <w:p w:rsidR="000A5B1E" w:rsidRPr="000A5B1E" w:rsidRDefault="000A5B1E" w:rsidP="000A5B1E">
      <w:pPr>
        <w:jc w:val="both"/>
        <w:rPr>
          <w:b/>
          <w:spacing w:val="-4"/>
          <w:sz w:val="16"/>
          <w:szCs w:val="18"/>
        </w:rPr>
      </w:pPr>
      <w:r w:rsidRPr="000A5B1E">
        <w:rPr>
          <w:b/>
          <w:spacing w:val="-4"/>
          <w:sz w:val="16"/>
          <w:szCs w:val="18"/>
        </w:rPr>
        <w:t>З сьомого питання:</w:t>
      </w:r>
    </w:p>
    <w:p w:rsidR="000A5B1E" w:rsidRPr="000A5B1E" w:rsidRDefault="000A5B1E" w:rsidP="000A5B1E">
      <w:pPr>
        <w:jc w:val="both"/>
        <w:rPr>
          <w:spacing w:val="-4"/>
          <w:sz w:val="16"/>
          <w:szCs w:val="18"/>
        </w:rPr>
      </w:pPr>
      <w:r w:rsidRPr="000A5B1E">
        <w:rPr>
          <w:spacing w:val="-4"/>
          <w:sz w:val="16"/>
          <w:szCs w:val="18"/>
        </w:rPr>
        <w:t>7. Передати в іпотеку АТ «</w:t>
      </w:r>
      <w:proofErr w:type="spellStart"/>
      <w:r w:rsidRPr="000A5B1E">
        <w:rPr>
          <w:spacing w:val="-4"/>
          <w:sz w:val="16"/>
          <w:szCs w:val="18"/>
        </w:rPr>
        <w:t>ПроКредит</w:t>
      </w:r>
      <w:proofErr w:type="spellEnd"/>
      <w:r w:rsidRPr="000A5B1E">
        <w:rPr>
          <w:spacing w:val="-4"/>
          <w:sz w:val="16"/>
          <w:szCs w:val="18"/>
        </w:rPr>
        <w:t xml:space="preserve"> Банк» по зобов’язанню ТОВ «ВІК БУД ТРЕЙД (код ЄДРПОУ 38316536) належне на праві власності Товариству нерухоме майно (реєстраційний номер об‘єкта 807055832210; номер об‘єкта в РПВН 20539566), загальною площею 7 460,8 </w:t>
      </w:r>
      <w:proofErr w:type="spellStart"/>
      <w:r w:rsidRPr="000A5B1E">
        <w:rPr>
          <w:spacing w:val="-4"/>
          <w:sz w:val="16"/>
          <w:szCs w:val="18"/>
        </w:rPr>
        <w:t>кв.м</w:t>
      </w:r>
      <w:proofErr w:type="spellEnd"/>
      <w:r w:rsidRPr="000A5B1E">
        <w:rPr>
          <w:spacing w:val="-4"/>
          <w:sz w:val="16"/>
          <w:szCs w:val="18"/>
        </w:rPr>
        <w:t>., що знаходиться за адресою: Київська область, Бородянський район, смт. Бородянка, вулиця Вокзальна, будинок 88.</w:t>
      </w:r>
    </w:p>
    <w:p w:rsidR="000A5B1E" w:rsidRPr="000A5B1E" w:rsidRDefault="000A5B1E" w:rsidP="000A5B1E">
      <w:pPr>
        <w:jc w:val="both"/>
        <w:rPr>
          <w:b/>
          <w:spacing w:val="-4"/>
          <w:sz w:val="16"/>
          <w:szCs w:val="18"/>
        </w:rPr>
      </w:pPr>
      <w:r w:rsidRPr="000A5B1E">
        <w:rPr>
          <w:b/>
          <w:spacing w:val="-4"/>
          <w:sz w:val="16"/>
          <w:szCs w:val="18"/>
        </w:rPr>
        <w:t>З восьмого питання:</w:t>
      </w:r>
    </w:p>
    <w:p w:rsidR="000A5B1E" w:rsidRPr="000A5B1E" w:rsidRDefault="000A5B1E" w:rsidP="000A5B1E">
      <w:pPr>
        <w:jc w:val="both"/>
        <w:rPr>
          <w:spacing w:val="-4"/>
          <w:sz w:val="16"/>
          <w:szCs w:val="18"/>
        </w:rPr>
      </w:pPr>
      <w:r w:rsidRPr="000A5B1E">
        <w:rPr>
          <w:spacing w:val="-4"/>
          <w:sz w:val="16"/>
          <w:szCs w:val="18"/>
        </w:rPr>
        <w:t>Уповноважити Генерального директора Товариства Захарєнкова Євгенія Романовича самостійно діяти від імені Товариства у всіх відносинах із АТ «</w:t>
      </w:r>
      <w:proofErr w:type="spellStart"/>
      <w:r w:rsidRPr="000A5B1E">
        <w:rPr>
          <w:spacing w:val="-4"/>
          <w:sz w:val="16"/>
          <w:szCs w:val="18"/>
        </w:rPr>
        <w:t>ПроКредит</w:t>
      </w:r>
      <w:proofErr w:type="spellEnd"/>
      <w:r w:rsidRPr="000A5B1E">
        <w:rPr>
          <w:spacing w:val="-4"/>
          <w:sz w:val="16"/>
          <w:szCs w:val="18"/>
        </w:rPr>
        <w:t xml:space="preserve"> Банк» та без необхідності попереднього та/або наступного погодження із Загальними зборами акціонерів Товариства та іншими органами Товариства: </w:t>
      </w:r>
    </w:p>
    <w:p w:rsidR="000A5B1E" w:rsidRPr="000A5B1E" w:rsidRDefault="000A5B1E" w:rsidP="000A5B1E">
      <w:pPr>
        <w:jc w:val="both"/>
        <w:rPr>
          <w:spacing w:val="-4"/>
          <w:sz w:val="16"/>
          <w:szCs w:val="18"/>
        </w:rPr>
      </w:pPr>
      <w:r w:rsidRPr="000A5B1E">
        <w:rPr>
          <w:spacing w:val="-4"/>
          <w:sz w:val="16"/>
          <w:szCs w:val="18"/>
        </w:rPr>
        <w:t>- самостійно визначати усі умови забезпечення та договорів забезпечення;</w:t>
      </w:r>
    </w:p>
    <w:p w:rsidR="000A5B1E" w:rsidRPr="000A5B1E" w:rsidRDefault="000A5B1E" w:rsidP="000A5B1E">
      <w:pPr>
        <w:jc w:val="both"/>
        <w:rPr>
          <w:spacing w:val="-4"/>
          <w:sz w:val="16"/>
          <w:szCs w:val="18"/>
        </w:rPr>
      </w:pPr>
      <w:r w:rsidRPr="000A5B1E">
        <w:rPr>
          <w:spacing w:val="-4"/>
          <w:sz w:val="16"/>
          <w:szCs w:val="18"/>
        </w:rPr>
        <w:t>- підготувати, підписати та подати у АТ «</w:t>
      </w:r>
      <w:proofErr w:type="spellStart"/>
      <w:r w:rsidRPr="000A5B1E">
        <w:rPr>
          <w:spacing w:val="-4"/>
          <w:sz w:val="16"/>
          <w:szCs w:val="18"/>
        </w:rPr>
        <w:t>ПроКредит</w:t>
      </w:r>
      <w:proofErr w:type="spellEnd"/>
      <w:r w:rsidRPr="000A5B1E">
        <w:rPr>
          <w:spacing w:val="-4"/>
          <w:sz w:val="16"/>
          <w:szCs w:val="18"/>
        </w:rPr>
        <w:t xml:space="preserve"> Банк» усі документи, необхідні для укладення відповідних договорів забезпечення;</w:t>
      </w:r>
    </w:p>
    <w:p w:rsidR="000A5B1E" w:rsidRPr="000A5B1E" w:rsidRDefault="000A5B1E" w:rsidP="000A5B1E">
      <w:pPr>
        <w:jc w:val="both"/>
        <w:rPr>
          <w:spacing w:val="-4"/>
          <w:sz w:val="16"/>
          <w:szCs w:val="18"/>
        </w:rPr>
      </w:pPr>
      <w:r w:rsidRPr="000A5B1E">
        <w:rPr>
          <w:spacing w:val="-4"/>
          <w:sz w:val="16"/>
          <w:szCs w:val="18"/>
        </w:rPr>
        <w:t>- укласти та підписати від імені Товариства договори поруки та іпотеки;</w:t>
      </w:r>
    </w:p>
    <w:p w:rsidR="000A5B1E" w:rsidRPr="000A5B1E" w:rsidRDefault="000A5B1E" w:rsidP="000A5B1E">
      <w:pPr>
        <w:tabs>
          <w:tab w:val="left" w:pos="993"/>
        </w:tabs>
        <w:jc w:val="both"/>
        <w:rPr>
          <w:bCs/>
          <w:spacing w:val="-4"/>
          <w:sz w:val="16"/>
          <w:szCs w:val="16"/>
        </w:rPr>
      </w:pPr>
    </w:p>
    <w:p w:rsidR="000A5B1E" w:rsidRPr="00B07D27" w:rsidRDefault="000A5B1E" w:rsidP="000A5B1E">
      <w:pPr>
        <w:tabs>
          <w:tab w:val="left" w:pos="4359"/>
        </w:tabs>
        <w:jc w:val="both"/>
        <w:rPr>
          <w:sz w:val="16"/>
          <w:szCs w:val="16"/>
        </w:rPr>
      </w:pPr>
      <w:r w:rsidRPr="00B07D27">
        <w:rPr>
          <w:sz w:val="16"/>
          <w:szCs w:val="16"/>
        </w:rPr>
        <w:t>До дати проведення</w:t>
      </w:r>
      <w:r>
        <w:rPr>
          <w:sz w:val="16"/>
          <w:szCs w:val="16"/>
        </w:rPr>
        <w:t xml:space="preserve"> позачергових</w:t>
      </w:r>
      <w:r w:rsidRPr="00B07D27">
        <w:rPr>
          <w:sz w:val="16"/>
          <w:szCs w:val="16"/>
        </w:rPr>
        <w:t xml:space="preserve"> загальних зборів, акціонери (учасники) можуть ознайомитись з документами, необхідними для прийняття рішення з питань порядку денного загальних зборів, за місцезнаходженням Товариства за адресою: </w:t>
      </w:r>
      <w:r w:rsidRPr="00B07D27">
        <w:rPr>
          <w:color w:val="000000"/>
          <w:spacing w:val="-4"/>
          <w:sz w:val="16"/>
          <w:szCs w:val="16"/>
        </w:rPr>
        <w:t>Україна, 07800, Київська область, Бородянський район, смт. Бородянка</w:t>
      </w:r>
      <w:r w:rsidRPr="00B07D27">
        <w:rPr>
          <w:color w:val="000000"/>
          <w:spacing w:val="-5"/>
          <w:sz w:val="16"/>
          <w:szCs w:val="16"/>
        </w:rPr>
        <w:t>, вулиця Вокзальна, 88</w:t>
      </w:r>
      <w:r w:rsidRPr="00B07D27">
        <w:rPr>
          <w:sz w:val="16"/>
          <w:szCs w:val="16"/>
        </w:rPr>
        <w:t xml:space="preserve"> з понеділка по п’ятницю з 12:00 до 1</w:t>
      </w:r>
      <w:r>
        <w:rPr>
          <w:sz w:val="16"/>
          <w:szCs w:val="16"/>
        </w:rPr>
        <w:t>6</w:t>
      </w:r>
      <w:r w:rsidRPr="00B07D27">
        <w:rPr>
          <w:sz w:val="16"/>
          <w:szCs w:val="16"/>
        </w:rPr>
        <w:t xml:space="preserve">:00, </w:t>
      </w:r>
      <w:r w:rsidRPr="00B07D27">
        <w:rPr>
          <w:color w:val="000000"/>
          <w:sz w:val="16"/>
          <w:szCs w:val="16"/>
        </w:rPr>
        <w:t>в бухгалтерії Товариства</w:t>
      </w:r>
      <w:r w:rsidRPr="00B07D27">
        <w:rPr>
          <w:sz w:val="16"/>
          <w:szCs w:val="16"/>
        </w:rPr>
        <w:t>,</w:t>
      </w:r>
      <w:r w:rsidRPr="00B07D27">
        <w:rPr>
          <w:color w:val="000000"/>
          <w:sz w:val="16"/>
          <w:szCs w:val="16"/>
        </w:rPr>
        <w:t xml:space="preserve"> а в день проведення загальних зборів – також у місці їх проведення</w:t>
      </w:r>
      <w:r w:rsidRPr="00B07D27">
        <w:rPr>
          <w:sz w:val="16"/>
          <w:szCs w:val="16"/>
        </w:rPr>
        <w:t xml:space="preserve">. Посадова особа товариства, відповідальна за ознайомлення акціонерів з документами – головний бухгалтер Шевченко Н. В., </w:t>
      </w:r>
      <w:proofErr w:type="spellStart"/>
      <w:r w:rsidRPr="00B07D27">
        <w:rPr>
          <w:color w:val="000000"/>
          <w:sz w:val="16"/>
          <w:szCs w:val="16"/>
        </w:rPr>
        <w:t>т</w:t>
      </w:r>
      <w:r w:rsidRPr="00B07D27">
        <w:rPr>
          <w:sz w:val="16"/>
          <w:szCs w:val="16"/>
        </w:rPr>
        <w:t>ел</w:t>
      </w:r>
      <w:proofErr w:type="spellEnd"/>
      <w:r w:rsidRPr="00B07D27">
        <w:rPr>
          <w:sz w:val="16"/>
          <w:szCs w:val="16"/>
        </w:rPr>
        <w:t>./факс: 8 (04477) 5-69-94.</w:t>
      </w:r>
    </w:p>
    <w:p w:rsidR="000A5B1E" w:rsidRPr="00B07D27" w:rsidRDefault="000A5B1E" w:rsidP="000A5B1E">
      <w:pPr>
        <w:tabs>
          <w:tab w:val="left" w:pos="4359"/>
        </w:tabs>
        <w:jc w:val="both"/>
        <w:rPr>
          <w:sz w:val="16"/>
          <w:szCs w:val="16"/>
        </w:rPr>
      </w:pPr>
      <w:r w:rsidRPr="00B07D27">
        <w:rPr>
          <w:sz w:val="16"/>
          <w:szCs w:val="16"/>
        </w:rPr>
        <w:t xml:space="preserve">Адреса веб-сайту Товариства, на якому розміщена інформація з проектами рішень щодо кожного з питань, включених до проекту порядку денного - </w:t>
      </w:r>
      <w:hyperlink r:id="rId5" w:history="1">
        <w:r w:rsidRPr="00B07D27">
          <w:rPr>
            <w:rStyle w:val="a3"/>
            <w:sz w:val="16"/>
            <w:szCs w:val="16"/>
          </w:rPr>
          <w:t>http://atp13237.zvitat.com.ua/</w:t>
        </w:r>
      </w:hyperlink>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 xml:space="preserve">Акціонер має право в порядку, встановленому законодавством, </w:t>
      </w:r>
      <w:proofErr w:type="spellStart"/>
      <w:r w:rsidRPr="00B07D27">
        <w:rPr>
          <w:spacing w:val="-4"/>
          <w:sz w:val="16"/>
          <w:szCs w:val="16"/>
        </w:rPr>
        <w:t>внести</w:t>
      </w:r>
      <w:proofErr w:type="spellEnd"/>
      <w:r w:rsidRPr="00B07D27">
        <w:rPr>
          <w:spacing w:val="-4"/>
          <w:sz w:val="16"/>
          <w:szCs w:val="16"/>
        </w:rPr>
        <w:t xml:space="preserve"> пропозиції щодо питань, включених до проекту порядку денного загальних зборів не пізніше ніж за 20 днів до д</w:t>
      </w:r>
      <w:r>
        <w:rPr>
          <w:spacing w:val="-4"/>
          <w:sz w:val="16"/>
          <w:szCs w:val="16"/>
        </w:rPr>
        <w:t xml:space="preserve">ати проведення загальних зборів, </w:t>
      </w:r>
      <w:r w:rsidRPr="000A5B1E">
        <w:rPr>
          <w:spacing w:val="-4"/>
          <w:sz w:val="16"/>
          <w:szCs w:val="16"/>
        </w:rPr>
        <w:t xml:space="preserve">а щодо кандидатів до складу органів товариства - не пізніше ніж за сім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Пропозиції </w:t>
      </w:r>
      <w:r w:rsidRPr="000A5B1E">
        <w:rPr>
          <w:spacing w:val="-4"/>
          <w:sz w:val="16"/>
          <w:szCs w:val="16"/>
        </w:rPr>
        <w:lastRenderedPageBreak/>
        <w:t>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r w:rsidRPr="00B07D27">
        <w:rPr>
          <w:spacing w:val="-4"/>
          <w:sz w:val="16"/>
          <w:szCs w:val="16"/>
        </w:rPr>
        <w:t xml:space="preserve"> Пропозиція до проекту порядку денного загальних зборів акціонерів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Акціонер має право до дати проведення загальних зборів надати Наглядовій раді письмове запитання щодо питань, включених до проекту порядку денного загальних зборів та порядку денного загальних зборів. На письмові запитання акціонерів щодо порядку денного зборів Товариством будуть надаватися письмові відповіді. 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Наглядовій раді копію виписки про стан рахунку в цінних паперах, засвідчену згідно з чинним законодавством.</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Для реєстрації акціонеру необхідно надати реєстраційній комісії документ, що посвідчує особу (паспорт, а у випадку пред'явлення паспорта громадянина України з безконтактним електронним носієм додатково пред'являється витяг з Єдиного державного демографічного реєстру щодо реєстрації місця проживання); неповнолітнім акціонером, у випадку його одруження до досягнення вісімнадцятирічного віку, додатково пред'являється свідоцтво про одруження або рішення суду про надання особі повної цивільної дієздатності.  Для підтвердження права на участь у Зборах акціонеру, який є неповнолітнім, додатково необхідно надати документи або їх копії, засвідчені нотаріально або іншим чином, передбаченому законодавством України (залишаються у реєстраційної комісії) копію свідоцтва про одруження, рішення суду про надання особі повної цивільної дієздатності або письмову згоду (у формі заяви про згоду на участь у загальних зборах акціонерів  неповнолітніх) осіб, які згідно з чинним законодавством представляють інтереси неповнолітніх до досягнення повноліття або одруження</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Для представників акціонерів, крім того надаються – документи, що підтверджують право участі у Зборах від імені акціонера:</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документ, що підтверджує право на представництво малолітньої особи-акціонера;</w:t>
      </w:r>
    </w:p>
    <w:p w:rsidR="000A5B1E" w:rsidRPr="00B07D27" w:rsidRDefault="000A5B1E" w:rsidP="000A5B1E">
      <w:pPr>
        <w:shd w:val="clear" w:color="auto" w:fill="FFFFFF"/>
        <w:jc w:val="both"/>
        <w:rPr>
          <w:spacing w:val="-4"/>
          <w:sz w:val="16"/>
          <w:szCs w:val="16"/>
        </w:rPr>
      </w:pPr>
      <w:r w:rsidRPr="00B07D27">
        <w:rPr>
          <w:spacing w:val="-4"/>
          <w:sz w:val="16"/>
          <w:szCs w:val="16"/>
        </w:rPr>
        <w:t>довіреність від акціонера;</w:t>
      </w:r>
    </w:p>
    <w:p w:rsidR="000A5B1E" w:rsidRPr="00B07D27" w:rsidRDefault="000A5B1E" w:rsidP="000A5B1E">
      <w:pPr>
        <w:shd w:val="clear" w:color="auto" w:fill="FFFFFF"/>
        <w:jc w:val="both"/>
        <w:rPr>
          <w:spacing w:val="-4"/>
          <w:sz w:val="16"/>
          <w:szCs w:val="16"/>
        </w:rPr>
      </w:pPr>
      <w:r w:rsidRPr="00B07D27">
        <w:rPr>
          <w:spacing w:val="-4"/>
          <w:sz w:val="16"/>
          <w:szCs w:val="16"/>
        </w:rPr>
        <w:t>договір про управління або договір доручення та довіреність від юридичної особи-представника акціонера;</w:t>
      </w:r>
    </w:p>
    <w:p w:rsidR="000A5B1E" w:rsidRPr="00B07D27" w:rsidRDefault="000A5B1E" w:rsidP="000A5B1E">
      <w:pPr>
        <w:shd w:val="clear" w:color="auto" w:fill="FFFFFF"/>
        <w:jc w:val="both"/>
        <w:rPr>
          <w:spacing w:val="-4"/>
          <w:sz w:val="16"/>
          <w:szCs w:val="16"/>
        </w:rPr>
      </w:pPr>
      <w:r w:rsidRPr="00B07D27">
        <w:rPr>
          <w:spacing w:val="-4"/>
          <w:sz w:val="16"/>
          <w:szCs w:val="16"/>
        </w:rPr>
        <w:t>для керівника акціонера-юридичної особи (представника акціонера-юридичної особи за договором) – витяг з ЄДР юридичних осіб, фізичних осіб-підприємців та громадських формувань станом на дату проведення Зборів, витяг з установчого документу юридичної особи, що містять інформацію про посадових осіб, які мають право діяти від її імені без довіреності та, у випадку, якщо згідно з установчим документом юридичної особи такі повноваження не належать до компетенції керівника, рішення уповноваженого органу управління юридичної особи щодо делегування керівнику повноважень щодо участі та голосування на Зборах.</w:t>
      </w:r>
    </w:p>
    <w:p w:rsidR="000A5B1E" w:rsidRPr="00B07D27" w:rsidRDefault="000A5B1E" w:rsidP="000A5B1E">
      <w:pPr>
        <w:shd w:val="clear" w:color="auto" w:fill="FFFFFF"/>
        <w:jc w:val="both"/>
        <w:rPr>
          <w:spacing w:val="-4"/>
          <w:sz w:val="16"/>
          <w:szCs w:val="16"/>
        </w:rPr>
      </w:pPr>
      <w:r w:rsidRPr="00B07D27">
        <w:rPr>
          <w:spacing w:val="-4"/>
          <w:sz w:val="16"/>
          <w:szCs w:val="16"/>
        </w:rPr>
        <w:t>Дані документа, що посвідчує особу акціонера, мають збігатись з даними, зазначеними в переліку акціонерів, які мають право на участь у зборах.</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У загальних зборах можуть брати участь особи, включені до переліку акціонерів, які мають право на таку участь, або їх представники. Акціонер реєструється з зазначенням представника (за наявності) і кількості голосів.</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Обмеження права акціонера на участь у загальних зборах та права участі у голосуванні на загальних зборах встановлюється законом.</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Акціонер має право призначити свого представника шляхом видачі довіреності на право участі та голосування на загальних зборах. У цій довіреності мають бути чітко визначені юридичні дії, які має право вчинити представник, а також: повне найменування і код за ЄДРПОУ Товариства; дата і час проведення загальних зборів акціонерів Товариства; місце і дата її видачі; кількість акцій, голосувати якими доручається представнику, або зазначення фрази "всіма належними мені акціями". Також як для акціонера, так і для представника в цій довіреності необхідно зазначити: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прізвище, ім'я, по-батькові (за наявності) (для фізичної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місце проживання, реєстрації (за наявності) з зазначенням країни (для фізичної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місцезнаходження з зазначенням країни (для юридичної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(«за», «проти» якого чи «утримався»)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ЗЗА на свій розсуд. Підпис особи на довіреності засвідчується згідно з чинним законодавством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Акціонер має право видати довіреність на право участі та голосування на загальних зборах декільком своїм представникам.</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До закінчення строку, відведеного на реєстрацію учасників зборів, акціонер має право у будь-який момент скасувати довіреність, замінити свого представника або взяти участь у загальних зборах особисто замість свого представника, повідомивши про це реєстраційну комісію акціонерного товариства. У разі, якщо для участі в загальних зборах з'явилось декілька представників, реєструється той представник, довіреність якому видана пізніше.</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Голосування на загальних зборах з питань порядку денного проводиться виключно з використанням бюлетенів для голосування, крім питань зміни черговості розгляду питань порядку денного та оголошення перерви у ході загальних зборів до наступного дня. Одна голосуюча акція надає акціонеру один голос для вирішення кожного з питань, винесених на голосування на загальних зборах акціонерного товариства.</w:t>
      </w:r>
    </w:p>
    <w:p w:rsidR="000A5B1E" w:rsidRPr="00B07D27" w:rsidRDefault="000A5B1E" w:rsidP="000A5B1E">
      <w:pPr>
        <w:tabs>
          <w:tab w:val="left" w:pos="4359"/>
        </w:tabs>
        <w:jc w:val="both"/>
        <w:rPr>
          <w:spacing w:val="-4"/>
          <w:sz w:val="16"/>
          <w:szCs w:val="16"/>
        </w:rPr>
      </w:pPr>
    </w:p>
    <w:p w:rsidR="000A5B1E" w:rsidRPr="00B07D27" w:rsidRDefault="000A5B1E" w:rsidP="000A5B1E">
      <w:pPr>
        <w:shd w:val="clear" w:color="auto" w:fill="FFFFFF"/>
        <w:jc w:val="right"/>
        <w:rPr>
          <w:b/>
          <w:spacing w:val="-4"/>
          <w:sz w:val="16"/>
          <w:szCs w:val="16"/>
        </w:rPr>
      </w:pPr>
      <w:r w:rsidRPr="00B07D27">
        <w:rPr>
          <w:b/>
          <w:spacing w:val="-4"/>
          <w:sz w:val="16"/>
          <w:szCs w:val="16"/>
        </w:rPr>
        <w:t>Наглядова рада</w:t>
      </w:r>
    </w:p>
    <w:p w:rsidR="000A5B1E" w:rsidRPr="00B07D27" w:rsidRDefault="000A5B1E" w:rsidP="000A5B1E">
      <w:pPr>
        <w:shd w:val="clear" w:color="auto" w:fill="FFFFFF"/>
        <w:jc w:val="right"/>
        <w:rPr>
          <w:sz w:val="16"/>
          <w:szCs w:val="16"/>
        </w:rPr>
      </w:pPr>
      <w:r w:rsidRPr="00B07D27">
        <w:rPr>
          <w:b/>
          <w:spacing w:val="-4"/>
          <w:sz w:val="16"/>
          <w:szCs w:val="16"/>
        </w:rPr>
        <w:t>ПРАТ «БОРОДЯНСЬКЕ АТП 13237»</w:t>
      </w:r>
    </w:p>
    <w:p w:rsidR="00282B64" w:rsidRDefault="00282B64"/>
    <w:sectPr w:rsidR="00282B64" w:rsidSect="000F2BD2">
      <w:pgSz w:w="11906" w:h="16838"/>
      <w:pgMar w:top="284" w:right="720" w:bottom="142" w:left="720" w:header="708" w:footer="70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E5"/>
    <w:multiLevelType w:val="hybridMultilevel"/>
    <w:tmpl w:val="86283B9E"/>
    <w:lvl w:ilvl="0" w:tplc="B670697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35043F"/>
    <w:multiLevelType w:val="hybridMultilevel"/>
    <w:tmpl w:val="28BE6900"/>
    <w:lvl w:ilvl="0" w:tplc="8A7A0D22">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AF"/>
    <w:rsid w:val="00015B8D"/>
    <w:rsid w:val="00033403"/>
    <w:rsid w:val="000A5B1E"/>
    <w:rsid w:val="00282B64"/>
    <w:rsid w:val="003548AF"/>
    <w:rsid w:val="00374F11"/>
    <w:rsid w:val="003D26B9"/>
    <w:rsid w:val="00CC1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64160-C048-4ADD-8FA3-58633A6C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РАБОЧИЙ"/>
    <w:qFormat/>
    <w:rsid w:val="000A5B1E"/>
    <w:pPr>
      <w:spacing w:after="0" w:line="240" w:lineRule="auto"/>
    </w:pPr>
    <w:rPr>
      <w:rFonts w:ascii="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5B1E"/>
    <w:rPr>
      <w:color w:val="0563C1" w:themeColor="hyperlink"/>
      <w:u w:val="single"/>
    </w:rPr>
  </w:style>
  <w:style w:type="paragraph" w:styleId="a4">
    <w:name w:val="List Paragraph"/>
    <w:basedOn w:val="a"/>
    <w:uiPriority w:val="34"/>
    <w:qFormat/>
    <w:rsid w:val="000A5B1E"/>
    <w:pPr>
      <w:ind w:left="720"/>
      <w:contextualSpacing/>
    </w:pPr>
  </w:style>
  <w:style w:type="paragraph" w:styleId="a5">
    <w:name w:val="No Spacing"/>
    <w:uiPriority w:val="1"/>
    <w:qFormat/>
    <w:rsid w:val="000A5B1E"/>
    <w:pPr>
      <w:spacing w:after="0" w:line="24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tp13237.zvitat.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2248</Words>
  <Characters>12818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 Михаил Владимирович</dc:creator>
  <cp:keywords/>
  <dc:description/>
  <cp:lastModifiedBy>Владимир В. Олийнык</cp:lastModifiedBy>
  <cp:revision>2</cp:revision>
  <dcterms:created xsi:type="dcterms:W3CDTF">2020-07-17T08:46:00Z</dcterms:created>
  <dcterms:modified xsi:type="dcterms:W3CDTF">2020-07-17T08:46:00Z</dcterms:modified>
</cp:coreProperties>
</file>